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983"/>
        <w:gridCol w:w="1434"/>
        <w:gridCol w:w="1850"/>
        <w:gridCol w:w="5416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692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313" w:afterLines="100" w:afterAutospacing="0" w:line="560" w:lineRule="exact"/>
              <w:ind w:left="0"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  <w:t xml:space="preserve">         2023年校级党建研究课题第一批结题名单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313" w:afterLines="100" w:afterAutospacing="0" w:line="560" w:lineRule="exact"/>
              <w:ind w:left="0" w:right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项目编号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负责人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类别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课题名称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是否结题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23hzxydj01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沈  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重点课题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高校基层党支部“三同三赋能”校企党建联建的实践研究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23hzxydj03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史长宽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重点课题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“党建+”工作格局助力基层组织建设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23hzxydj04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王  萍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重点课题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高校增强基层党组织政治功能研究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23hzxydj15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陈嘉杰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一般课题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新时代下基于马克思主义新闻观的新闻教育改革探析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7D8D"/>
    <w:rsid w:val="4B253D93"/>
    <w:rsid w:val="58627D7F"/>
    <w:rsid w:val="70B8575E"/>
    <w:rsid w:val="7F1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Plain Text"/>
    <w:next w:val="3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cp:lastPrinted>2024-04-02T08:46:11Z</cp:lastPrinted>
  <dcterms:modified xsi:type="dcterms:W3CDTF">2024-04-02T08:48:12Z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